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Open Sans" w:cs="Open Sans" w:eastAsia="Open Sans" w:hAnsi="Open Sans"/>
          <w:b w:val="1"/>
          <w:sz w:val="30"/>
          <w:szCs w:val="30"/>
        </w:rPr>
      </w:pPr>
      <w:r w:rsidDel="00000000" w:rsidR="00000000" w:rsidRPr="00000000">
        <w:rPr>
          <w:rFonts w:ascii="Open Sans" w:cs="Open Sans" w:eastAsia="Open Sans" w:hAnsi="Open Sans"/>
          <w:b w:val="1"/>
          <w:sz w:val="30"/>
          <w:szCs w:val="30"/>
          <w:rtl w:val="0"/>
        </w:rPr>
        <w:t xml:space="preserve">Los pagos </w:t>
      </w:r>
      <w:r w:rsidDel="00000000" w:rsidR="00000000" w:rsidRPr="00000000">
        <w:rPr>
          <w:rFonts w:ascii="Open Sans" w:cs="Open Sans" w:eastAsia="Open Sans" w:hAnsi="Open Sans"/>
          <w:b w:val="1"/>
          <w:i w:val="1"/>
          <w:sz w:val="30"/>
          <w:szCs w:val="30"/>
          <w:rtl w:val="0"/>
        </w:rPr>
        <w:t xml:space="preserve">contactless</w:t>
      </w:r>
      <w:r w:rsidDel="00000000" w:rsidR="00000000" w:rsidRPr="00000000">
        <w:rPr>
          <w:rFonts w:ascii="Open Sans" w:cs="Open Sans" w:eastAsia="Open Sans" w:hAnsi="Open Sans"/>
          <w:b w:val="1"/>
          <w:sz w:val="30"/>
          <w:szCs w:val="30"/>
          <w:rtl w:val="0"/>
        </w:rPr>
        <w:t xml:space="preserve"> siguen creciendo: </w:t>
      </w:r>
    </w:p>
    <w:p w:rsidR="00000000" w:rsidDel="00000000" w:rsidP="00000000" w:rsidRDefault="00000000" w:rsidRPr="00000000" w14:paraId="00000003">
      <w:pPr>
        <w:jc w:val="center"/>
        <w:rPr>
          <w:rFonts w:ascii="Open Sans" w:cs="Open Sans" w:eastAsia="Open Sans" w:hAnsi="Open Sans"/>
          <w:b w:val="1"/>
          <w:color w:val="ff6600"/>
          <w:sz w:val="30"/>
          <w:szCs w:val="30"/>
        </w:rPr>
      </w:pPr>
      <w:r w:rsidDel="00000000" w:rsidR="00000000" w:rsidRPr="00000000">
        <w:rPr>
          <w:rFonts w:ascii="Open Sans" w:cs="Open Sans" w:eastAsia="Open Sans" w:hAnsi="Open Sans"/>
          <w:b w:val="1"/>
          <w:sz w:val="30"/>
          <w:szCs w:val="30"/>
          <w:rtl w:val="0"/>
        </w:rPr>
        <w:t xml:space="preserve">mitos y realidades sobre los fraudes en esta modalidad</w:t>
      </w:r>
      <w:r w:rsidDel="00000000" w:rsidR="00000000" w:rsidRPr="00000000">
        <w:rPr>
          <w:rFonts w:ascii="Open Sans" w:cs="Open Sans" w:eastAsia="Open Sans" w:hAnsi="Open Sans"/>
          <w:b w:val="1"/>
          <w:color w:val="ff6600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both"/>
        <w:rPr>
          <w:rFonts w:ascii="Open Sans" w:cs="Open Sans" w:eastAsia="Open Sans" w:hAnsi="Open Sans"/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Open Sans" w:cs="Open Sans" w:eastAsia="Open Sans" w:hAnsi="Open Sans"/>
          <w:i w:val="1"/>
          <w:highlight w:val="white"/>
        </w:rPr>
      </w:pPr>
      <w:r w:rsidDel="00000000" w:rsidR="00000000" w:rsidRPr="00000000">
        <w:rPr>
          <w:rFonts w:ascii="Open Sans" w:cs="Open Sans" w:eastAsia="Open Sans" w:hAnsi="Open Sans"/>
          <w:i w:val="1"/>
          <w:highlight w:val="white"/>
          <w:rtl w:val="0"/>
        </w:rPr>
        <w:t xml:space="preserve">Los bancos son proactivos en impulsar los pagos seguros sin contacto y nuevos jugadores del sector financiero tienen la oportunidad de hacer lo mismo por sus usuarios, disminuir el fraude y aumentar su competitividad</w:t>
      </w:r>
      <w:r w:rsidDel="00000000" w:rsidR="00000000" w:rsidRPr="00000000">
        <w:rPr>
          <w:rFonts w:ascii="Open Sans" w:cs="Open Sans" w:eastAsia="Open Sans" w:hAnsi="Open Sans"/>
          <w:i w:val="1"/>
          <w:color w:val="666666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Open Sans" w:cs="Open Sans" w:eastAsia="Open Sans" w:hAnsi="Open Sans"/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Open Sans" w:cs="Open Sans" w:eastAsia="Open Sans" w:hAnsi="Open Sans"/>
          <w:i w:val="1"/>
          <w:highlight w:val="white"/>
        </w:rPr>
      </w:pPr>
      <w:r w:rsidDel="00000000" w:rsidR="00000000" w:rsidRPr="00000000">
        <w:rPr>
          <w:rFonts w:ascii="Open Sans" w:cs="Open Sans" w:eastAsia="Open Sans" w:hAnsi="Open Sans"/>
          <w:i w:val="1"/>
          <w:highlight w:val="white"/>
          <w:rtl w:val="0"/>
        </w:rPr>
        <w:t xml:space="preserve">Por Sergio Villarruel, Director General de Fiserv en México 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Los pagos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contactless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o sin contacto llegaron para quedarse. De acuerdo con el reporte </w:t>
      </w:r>
      <w:hyperlink r:id="rId7">
        <w:r w:rsidDel="00000000" w:rsidR="00000000" w:rsidRPr="00000000">
          <w:rPr>
            <w:rFonts w:ascii="Open Sans" w:cs="Open Sans" w:eastAsia="Open Sans" w:hAnsi="Open Sans"/>
            <w:b w:val="1"/>
            <w:color w:val="1155cc"/>
            <w:u w:val="single"/>
            <w:rtl w:val="0"/>
          </w:rPr>
          <w:t xml:space="preserve">Latin America Payments 6 Megatrends for 2021</w:t>
        </w:r>
      </w:hyperlink>
      <w:r w:rsidDel="00000000" w:rsidR="00000000" w:rsidRPr="00000000">
        <w:rPr>
          <w:rFonts w:ascii="Open Sans" w:cs="Open Sans" w:eastAsia="Open Sans" w:hAnsi="Open Sans"/>
          <w:rtl w:val="0"/>
        </w:rPr>
        <w:t xml:space="preserve"> de la consultora Americas Market Intelligence (AMI), los cobros sin contacto avanzan significativamente en el mercado latinaomericano. 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La AMI señala que en el caso de México la penetración de pagos presenciales en la modalidad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contactless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aumentó en 5% durante 2020 lo que representó un total de 3.4 mil millones de dólares en transacciones. Y es que una vez que los consumidores tienen su primera experiencia con esta tecnología, se convierte en parte de su rutina de pagos porque ofrece comodidad y facilidad de uso. </w:t>
      </w:r>
    </w:p>
    <w:p w:rsidR="00000000" w:rsidDel="00000000" w:rsidP="00000000" w:rsidRDefault="00000000" w:rsidRPr="00000000" w14:paraId="0000000C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Es un período decisivo para la consolidación de los pagos sin contacto. El que los emisores de tarjetas y procesadores de pago puedan brindar un servicio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contactless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que permita a las personas de todas las edades independizarse de manera progresiva del efectivo, es un factor competitivo que los puede mantener a la vanguardia. </w:t>
      </w:r>
    </w:p>
    <w:p w:rsidR="00000000" w:rsidDel="00000000" w:rsidP="00000000" w:rsidRDefault="00000000" w:rsidRPr="00000000" w14:paraId="0000000E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El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auge de la tecnología alternativa de pagos siempre es acompañado con nuevos desafíos. En el caso de los pagos sin contacto, uno de los retos a los que se enfrenta esta tendencia es el de la percepción colectiva de la inseguridad, principalmente relacionada con mitos de fraude o con el temor de ser robado con tan solo el acercamiento de una persona al teléfono.</w:t>
      </w:r>
    </w:p>
    <w:p w:rsidR="00000000" w:rsidDel="00000000" w:rsidP="00000000" w:rsidRDefault="00000000" w:rsidRPr="00000000" w14:paraId="00000010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La verdad es que los pagos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contactless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son igual de seguros que cualquier otro método. </w:t>
      </w:r>
    </w:p>
    <w:p w:rsidR="00000000" w:rsidDel="00000000" w:rsidP="00000000" w:rsidRDefault="00000000" w:rsidRPr="00000000" w14:paraId="00000012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Los métodos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contactless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operan con tecnología </w:t>
      </w:r>
      <w:r w:rsidDel="00000000" w:rsidR="00000000" w:rsidRPr="00000000">
        <w:rPr>
          <w:rtl w:val="0"/>
        </w:rPr>
        <w:t xml:space="preserve">​​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Near Field Communication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(NFC) o lo que es lo mismo, transmisión inalámbrica de datos. Durante la transacción inalámbrica, la información sensible de los cuentahabientes viaja ya encriptada y el pago se realiza en segundos, lo que disminuye las posibilidades de un acto delictivo.  </w:t>
      </w:r>
    </w:p>
    <w:p w:rsidR="00000000" w:rsidDel="00000000" w:rsidP="00000000" w:rsidRDefault="00000000" w:rsidRPr="00000000" w14:paraId="00000014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Los bancos son activos en implementar nuevos sistemas de protección en pagos sin contacto. Sin embargo, no deben ser sólo ellos los que impulsen medios de pago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contactless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seguros, ya que otras entidades financieras pueden igualar las condiciones de seguridad de un banco fácilmente a través de socios de tecnología financiera. </w:t>
      </w:r>
    </w:p>
    <w:p w:rsidR="00000000" w:rsidDel="00000000" w:rsidP="00000000" w:rsidRDefault="00000000" w:rsidRPr="00000000" w14:paraId="00000016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Los sistemas de seguridad en pagos de dichos proveedores pueden estar al mismo nivel que el de los bancos, y estar disponibles para que cualquier entidad financiera pueda implementarlos. El que nuevos jugadores del sector como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fintechs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o neobancos accedan a esta tecnología y la implementen contribuye a que más usuarios confíen en utilizar dichos métodos. </w:t>
      </w:r>
    </w:p>
    <w:p w:rsidR="00000000" w:rsidDel="00000000" w:rsidP="00000000" w:rsidRDefault="00000000" w:rsidRPr="00000000" w14:paraId="00000018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El visto bueno y consecuente uso de la población de las alternativas de pagos, pueden contribuir a la disminución de delitos. A finales del 2021 la Asociación de Bancos de México (ABM) resaltó que de enero a agosto del año pasado los fraudes </w:t>
      </w:r>
      <w:hyperlink r:id="rId8">
        <w:r w:rsidDel="00000000" w:rsidR="00000000" w:rsidRPr="00000000">
          <w:rPr>
            <w:rFonts w:ascii="Open Sans" w:cs="Open Sans" w:eastAsia="Open Sans" w:hAnsi="Open Sans"/>
            <w:color w:val="1155cc"/>
            <w:u w:val="single"/>
            <w:rtl w:val="0"/>
          </w:rPr>
          <w:t xml:space="preserve">cayeron en un 7% gracias a la adopción de los pagos digitales</w:t>
        </w:r>
      </w:hyperlink>
      <w:r w:rsidDel="00000000" w:rsidR="00000000" w:rsidRPr="00000000">
        <w:rPr>
          <w:rFonts w:ascii="Open Sans" w:cs="Open Sans" w:eastAsia="Open Sans" w:hAnsi="Open Sans"/>
          <w:rtl w:val="0"/>
        </w:rPr>
        <w:t xml:space="preserve">. </w:t>
      </w:r>
    </w:p>
    <w:p w:rsidR="00000000" w:rsidDel="00000000" w:rsidP="00000000" w:rsidRDefault="00000000" w:rsidRPr="00000000" w14:paraId="0000001A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La idea errónea de que los pagos sin contacto son inseguros es un impedimento para el crecimiento y expansión de los mismos. Además de derribar mitos, el desarrollo de instituciones bancarias y financieras con una firme capacidad de seguridad digital también suma a que México se ponga al corriente con una tendencia de pagos que va en ascenso regional y globalmente. 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5076825</wp:posOffset>
          </wp:positionH>
          <wp:positionV relativeFrom="paragraph">
            <wp:posOffset>-133347</wp:posOffset>
          </wp:positionV>
          <wp:extent cx="1168400" cy="594995"/>
          <wp:effectExtent b="0" l="0" r="0" t="0"/>
          <wp:wrapNone/>
          <wp:docPr descr="fiserv_logo_orange_rgb" id="9" name="image1.jpg"/>
          <a:graphic>
            <a:graphicData uri="http://schemas.openxmlformats.org/drawingml/2006/picture">
              <pic:pic>
                <pic:nvPicPr>
                  <pic:cNvPr descr="fiserv_logo_orange_rgb" id="0" name="image1.jpg"/>
                  <pic:cNvPicPr preferRelativeResize="0"/>
                </pic:nvPicPr>
                <pic:blipFill>
                  <a:blip r:embed="rId1"/>
                  <a:srcRect b="14772" l="9035" r="9759" t="19887"/>
                  <a:stretch>
                    <a:fillRect/>
                  </a:stretch>
                </pic:blipFill>
                <pic:spPr>
                  <a:xfrm>
                    <a:off x="0" y="0"/>
                    <a:ext cx="1168400" cy="59499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MX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 w:val="1"/>
    <w:rsid w:val="003D45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D4520"/>
    <w:rPr>
      <w:color w:val="605e5c"/>
      <w:shd w:color="auto" w:fill="e1dfdd" w:val="clear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AD02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AD025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AD02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AD0257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AD0257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americasmi.com/insights/6-megatrends-in-latin-american-payments-for-2021/" TargetMode="External"/><Relationship Id="rId8" Type="http://schemas.openxmlformats.org/officeDocument/2006/relationships/hyperlink" Target="https://www.amvo.org.mx/blog/transacciones-a-la-alta-ciberfraudes-a-la-baja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Light-regular.ttf"/><Relationship Id="rId2" Type="http://schemas.openxmlformats.org/officeDocument/2006/relationships/font" Target="fonts/OpenSansLight-bold.ttf"/><Relationship Id="rId3" Type="http://schemas.openxmlformats.org/officeDocument/2006/relationships/font" Target="fonts/OpenSansLight-italic.ttf"/><Relationship Id="rId4" Type="http://schemas.openxmlformats.org/officeDocument/2006/relationships/font" Target="fonts/OpenSansLight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AwFUvjzGT/8XPXcfgT7iVAJDgw==">AMUW2mUOnHc6AeLj04ODN7ec/HrhnATIAqiRav7rVlBVfUyYZgXhF1tIvQgy7y6pBtRfJADE3jb5M5ddmTQdAewGg2CDlRCxZrisIpXU+n5Y9SckBLGss2U=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2022-05-04T18:50:00Z</dcterms:created>
  <dc:creator>Tello, Mariana (Brookfield)</dc:creator>
</cp:coreProperties>
</file>